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D1" w:rsidRDefault="00AD30D4">
      <w:pPr>
        <w:spacing w:line="420" w:lineRule="exact"/>
        <w:rPr>
          <w:kern w:val="0"/>
          <w:sz w:val="24"/>
        </w:rPr>
      </w:pPr>
      <w:r>
        <w:rPr>
          <w:rFonts w:hint="eastAsia"/>
          <w:kern w:val="0"/>
          <w:sz w:val="24"/>
        </w:rPr>
        <w:t>附件</w:t>
      </w:r>
      <w:r w:rsidR="00D721EF">
        <w:rPr>
          <w:rFonts w:hint="eastAsia"/>
          <w:kern w:val="0"/>
          <w:sz w:val="24"/>
        </w:rPr>
        <w:t>5</w:t>
      </w:r>
      <w:r>
        <w:rPr>
          <w:rFonts w:hint="eastAsia"/>
          <w:kern w:val="0"/>
          <w:sz w:val="24"/>
        </w:rPr>
        <w:t>：</w:t>
      </w:r>
    </w:p>
    <w:p w:rsidR="00B150D1" w:rsidRDefault="00AD30D4">
      <w:pPr>
        <w:spacing w:line="500" w:lineRule="exact"/>
        <w:ind w:firstLineChars="500" w:firstLine="1807"/>
        <w:rPr>
          <w:rFonts w:ascii="宋体" w:hAnsi="宋体"/>
          <w:b/>
          <w:kern w:val="0"/>
          <w:sz w:val="36"/>
          <w:szCs w:val="36"/>
        </w:rPr>
      </w:pPr>
      <w:r>
        <w:rPr>
          <w:rFonts w:ascii="宋体" w:hAnsi="宋体"/>
          <w:b/>
          <w:kern w:val="0"/>
          <w:sz w:val="36"/>
          <w:szCs w:val="36"/>
        </w:rPr>
        <w:t>山东省教师资格认定体检标准</w:t>
      </w:r>
    </w:p>
    <w:p w:rsidR="00B150D1" w:rsidRDefault="00B150D1">
      <w:pPr>
        <w:spacing w:line="500" w:lineRule="exact"/>
        <w:ind w:firstLineChars="500" w:firstLine="1807"/>
        <w:rPr>
          <w:rFonts w:ascii="宋体" w:hAnsi="宋体"/>
          <w:b/>
          <w:kern w:val="0"/>
          <w:sz w:val="36"/>
          <w:szCs w:val="36"/>
        </w:rPr>
      </w:pPr>
    </w:p>
    <w:p w:rsidR="00B150D1" w:rsidRDefault="00AD30D4">
      <w:pPr>
        <w:spacing w:line="420" w:lineRule="exact"/>
        <w:ind w:left="630" w:hangingChars="300" w:hanging="630"/>
        <w:rPr>
          <w:rFonts w:ascii="黑体" w:eastAsia="黑体"/>
          <w:kern w:val="0"/>
          <w:sz w:val="24"/>
        </w:rPr>
      </w:pPr>
      <w:r>
        <w:rPr>
          <w:kern w:val="0"/>
        </w:rPr>
        <w:t> </w:t>
      </w:r>
      <w:r>
        <w:rPr>
          <w:rFonts w:ascii="黑体" w:eastAsia="黑体" w:hint="eastAsia"/>
          <w:kern w:val="0"/>
          <w:sz w:val="24"/>
        </w:rPr>
        <w:t>有下列疾病或生理缺陷者，为体检不合格：</w:t>
      </w:r>
      <w:r>
        <w:rPr>
          <w:rFonts w:eastAsia="黑体" w:hint="eastAsia"/>
          <w:kern w:val="0"/>
          <w:sz w:val="24"/>
        </w:rPr>
        <w:t> </w:t>
      </w:r>
    </w:p>
    <w:p w:rsidR="00B150D1" w:rsidRDefault="00AD30D4">
      <w:pPr>
        <w:spacing w:line="420" w:lineRule="exact"/>
        <w:ind w:firstLineChars="200" w:firstLine="480"/>
        <w:rPr>
          <w:rFonts w:ascii="仿宋_GB2312" w:eastAsia="仿宋_GB2312"/>
          <w:sz w:val="24"/>
        </w:rPr>
      </w:pPr>
      <w:r>
        <w:rPr>
          <w:kern w:val="0"/>
          <w:sz w:val="24"/>
        </w:rPr>
        <w:t>（一）先天性心脏病（经手术治愈者除外）、频发性期前收缩、心电图不正常、心肌病及其他器质性心脏病。</w:t>
      </w:r>
      <w:bookmarkStart w:id="0" w:name="_GoBack"/>
      <w:bookmarkEnd w:id="0"/>
      <w:r>
        <w:rPr>
          <w:kern w:val="0"/>
          <w:sz w:val="24"/>
        </w:rPr>
        <w:br/>
      </w:r>
      <w:r>
        <w:rPr>
          <w:rFonts w:hint="eastAsia"/>
          <w:kern w:val="0"/>
          <w:sz w:val="24"/>
        </w:rPr>
        <w:t xml:space="preserve">    </w:t>
      </w:r>
      <w:r>
        <w:rPr>
          <w:kern w:val="0"/>
          <w:sz w:val="24"/>
        </w:rPr>
        <w:t>（二）血压超过</w:t>
      </w:r>
      <w:r>
        <w:rPr>
          <w:kern w:val="0"/>
          <w:sz w:val="24"/>
        </w:rPr>
        <w:t>18.66</w:t>
      </w:r>
      <w:r>
        <w:rPr>
          <w:kern w:val="0"/>
          <w:sz w:val="24"/>
        </w:rPr>
        <w:t>／</w:t>
      </w:r>
      <w:r>
        <w:rPr>
          <w:kern w:val="0"/>
          <w:sz w:val="24"/>
        </w:rPr>
        <w:t>12kpa</w:t>
      </w:r>
      <w:r>
        <w:rPr>
          <w:kern w:val="0"/>
          <w:sz w:val="24"/>
        </w:rPr>
        <w:t>（</w:t>
      </w:r>
      <w:r>
        <w:rPr>
          <w:kern w:val="0"/>
          <w:sz w:val="24"/>
        </w:rPr>
        <w:t>140</w:t>
      </w:r>
      <w:r>
        <w:rPr>
          <w:kern w:val="0"/>
          <w:sz w:val="24"/>
        </w:rPr>
        <w:t>／</w:t>
      </w:r>
      <w:r>
        <w:rPr>
          <w:kern w:val="0"/>
          <w:sz w:val="24"/>
        </w:rPr>
        <w:t>90</w:t>
      </w:r>
      <w:r>
        <w:rPr>
          <w:kern w:val="0"/>
          <w:sz w:val="24"/>
        </w:rPr>
        <w:t>毫米汞柱），低于</w:t>
      </w:r>
      <w:r>
        <w:rPr>
          <w:kern w:val="0"/>
          <w:sz w:val="24"/>
        </w:rPr>
        <w:t>11.46</w:t>
      </w:r>
      <w:r>
        <w:rPr>
          <w:kern w:val="0"/>
          <w:sz w:val="24"/>
        </w:rPr>
        <w:t>／</w:t>
      </w:r>
      <w:r>
        <w:rPr>
          <w:kern w:val="0"/>
          <w:sz w:val="24"/>
        </w:rPr>
        <w:t>7.46kpa</w:t>
      </w:r>
      <w:r>
        <w:rPr>
          <w:kern w:val="0"/>
          <w:sz w:val="24"/>
        </w:rPr>
        <w:t>（</w:t>
      </w:r>
      <w:r>
        <w:rPr>
          <w:kern w:val="0"/>
          <w:sz w:val="24"/>
        </w:rPr>
        <w:t>86</w:t>
      </w:r>
      <w:r>
        <w:rPr>
          <w:kern w:val="0"/>
          <w:sz w:val="24"/>
        </w:rPr>
        <w:t>／</w:t>
      </w:r>
      <w:r>
        <w:rPr>
          <w:kern w:val="0"/>
          <w:sz w:val="24"/>
        </w:rPr>
        <w:t>56</w:t>
      </w:r>
      <w:r>
        <w:rPr>
          <w:kern w:val="0"/>
          <w:sz w:val="24"/>
        </w:rPr>
        <w:t>毫米汞柱）。单项收缩压超过</w:t>
      </w:r>
      <w:r>
        <w:rPr>
          <w:kern w:val="0"/>
          <w:sz w:val="24"/>
        </w:rPr>
        <w:t>21.33kpa</w:t>
      </w:r>
      <w:r>
        <w:rPr>
          <w:kern w:val="0"/>
          <w:sz w:val="24"/>
        </w:rPr>
        <w:t>（</w:t>
      </w:r>
      <w:r>
        <w:rPr>
          <w:kern w:val="0"/>
          <w:sz w:val="24"/>
        </w:rPr>
        <w:t>160</w:t>
      </w:r>
      <w:r>
        <w:rPr>
          <w:kern w:val="0"/>
          <w:sz w:val="24"/>
        </w:rPr>
        <w:t>毫米汞柱），低于</w:t>
      </w:r>
      <w:r>
        <w:rPr>
          <w:kern w:val="0"/>
          <w:sz w:val="24"/>
        </w:rPr>
        <w:t>10.66kpa</w:t>
      </w:r>
      <w:r>
        <w:rPr>
          <w:kern w:val="0"/>
          <w:sz w:val="24"/>
        </w:rPr>
        <w:t>（</w:t>
      </w:r>
      <w:r>
        <w:rPr>
          <w:kern w:val="0"/>
          <w:sz w:val="24"/>
        </w:rPr>
        <w:t>80</w:t>
      </w:r>
      <w:r>
        <w:rPr>
          <w:kern w:val="0"/>
          <w:sz w:val="24"/>
        </w:rPr>
        <w:t>毫米汞柱），舒张压超过</w:t>
      </w:r>
      <w:r>
        <w:rPr>
          <w:kern w:val="0"/>
          <w:sz w:val="24"/>
        </w:rPr>
        <w:t>12kpa</w:t>
      </w:r>
      <w:r>
        <w:rPr>
          <w:kern w:val="0"/>
          <w:sz w:val="24"/>
        </w:rPr>
        <w:t>（</w:t>
      </w:r>
      <w:r>
        <w:rPr>
          <w:kern w:val="0"/>
          <w:sz w:val="24"/>
        </w:rPr>
        <w:t>90</w:t>
      </w:r>
      <w:r>
        <w:rPr>
          <w:kern w:val="0"/>
          <w:sz w:val="24"/>
        </w:rPr>
        <w:t>毫米汞柱），低于</w:t>
      </w:r>
      <w:r>
        <w:rPr>
          <w:kern w:val="0"/>
          <w:sz w:val="24"/>
        </w:rPr>
        <w:t>6.66kpa</w:t>
      </w:r>
      <w:r>
        <w:rPr>
          <w:kern w:val="0"/>
          <w:sz w:val="24"/>
        </w:rPr>
        <w:t>（</w:t>
      </w:r>
      <w:r>
        <w:rPr>
          <w:kern w:val="0"/>
          <w:sz w:val="24"/>
        </w:rPr>
        <w:t>50</w:t>
      </w:r>
      <w:r>
        <w:rPr>
          <w:kern w:val="0"/>
          <w:sz w:val="24"/>
        </w:rPr>
        <w:t>毫米汞柱）。</w:t>
      </w:r>
      <w:r>
        <w:rPr>
          <w:kern w:val="0"/>
          <w:sz w:val="24"/>
        </w:rPr>
        <w:br/>
      </w:r>
      <w:r>
        <w:rPr>
          <w:rFonts w:hint="eastAsia"/>
          <w:kern w:val="0"/>
          <w:sz w:val="24"/>
        </w:rPr>
        <w:t xml:space="preserve">    </w:t>
      </w:r>
      <w:r>
        <w:rPr>
          <w:kern w:val="0"/>
          <w:sz w:val="24"/>
        </w:rPr>
        <w:t>（三）结核病，除下列情况，均为体检不合格：</w:t>
      </w:r>
      <w:r>
        <w:rPr>
          <w:kern w:val="0"/>
          <w:sz w:val="24"/>
        </w:rPr>
        <w:t> </w:t>
      </w:r>
      <w:r>
        <w:rPr>
          <w:kern w:val="0"/>
          <w:sz w:val="24"/>
        </w:rPr>
        <w:br/>
      </w:r>
      <w:r>
        <w:rPr>
          <w:rFonts w:hint="eastAsia"/>
          <w:kern w:val="0"/>
          <w:sz w:val="24"/>
        </w:rPr>
        <w:t xml:space="preserve">    </w:t>
      </w:r>
      <w:r>
        <w:rPr>
          <w:kern w:val="0"/>
          <w:sz w:val="24"/>
        </w:rPr>
        <w:t>1</w:t>
      </w:r>
      <w:r>
        <w:rPr>
          <w:kern w:val="0"/>
          <w:sz w:val="24"/>
        </w:rPr>
        <w:t>、原发型肺结核、浸润型肺结核，已硬结稳定。结核性胸膜炎已治愈，或治愈后遗有胸膜肥厚者。</w:t>
      </w:r>
      <w:r>
        <w:rPr>
          <w:kern w:val="0"/>
          <w:sz w:val="24"/>
        </w:rPr>
        <w:t> </w:t>
      </w:r>
      <w:r>
        <w:rPr>
          <w:kern w:val="0"/>
          <w:sz w:val="24"/>
        </w:rPr>
        <w:br/>
      </w:r>
      <w:r>
        <w:rPr>
          <w:rFonts w:hint="eastAsia"/>
          <w:kern w:val="0"/>
          <w:sz w:val="24"/>
        </w:rPr>
        <w:t xml:space="preserve">    </w:t>
      </w:r>
      <w:r>
        <w:rPr>
          <w:kern w:val="0"/>
          <w:sz w:val="24"/>
        </w:rPr>
        <w:t>2</w:t>
      </w:r>
      <w:r>
        <w:rPr>
          <w:kern w:val="0"/>
          <w:sz w:val="24"/>
        </w:rPr>
        <w:t>、一切肺外结核（肾结核、骨结核、腹膜结核等）、血行播散型肺结核，治愈后两年以上未复发，经二级以上医院（或结核病防治所）专科检查无变化者。</w:t>
      </w:r>
      <w:r>
        <w:rPr>
          <w:kern w:val="0"/>
          <w:sz w:val="24"/>
        </w:rPr>
        <w:t> </w:t>
      </w:r>
      <w:r>
        <w:rPr>
          <w:kern w:val="0"/>
          <w:sz w:val="24"/>
        </w:rPr>
        <w:br/>
      </w:r>
      <w:r>
        <w:rPr>
          <w:rFonts w:hint="eastAsia"/>
          <w:kern w:val="0"/>
          <w:sz w:val="24"/>
        </w:rPr>
        <w:t xml:space="preserve">    </w:t>
      </w:r>
      <w:r>
        <w:rPr>
          <w:kern w:val="0"/>
          <w:sz w:val="24"/>
        </w:rPr>
        <w:t>3</w:t>
      </w:r>
      <w:r>
        <w:rPr>
          <w:kern w:val="0"/>
          <w:sz w:val="24"/>
        </w:rPr>
        <w:t>、淋巴腺结核已临床治愈无症状者。</w:t>
      </w:r>
      <w:r>
        <w:rPr>
          <w:kern w:val="0"/>
          <w:sz w:val="24"/>
        </w:rPr>
        <w:t> </w:t>
      </w:r>
      <w:r>
        <w:rPr>
          <w:kern w:val="0"/>
          <w:sz w:val="24"/>
        </w:rPr>
        <w:br/>
      </w:r>
      <w:r>
        <w:rPr>
          <w:rFonts w:hint="eastAsia"/>
          <w:kern w:val="0"/>
          <w:sz w:val="24"/>
        </w:rPr>
        <w:t xml:space="preserve">    </w:t>
      </w:r>
      <w:r>
        <w:rPr>
          <w:kern w:val="0"/>
          <w:sz w:val="24"/>
        </w:rPr>
        <w:t>（四）支气管扩张病</w:t>
      </w:r>
      <w:r>
        <w:rPr>
          <w:kern w:val="0"/>
          <w:sz w:val="24"/>
        </w:rPr>
        <w:t>,</w:t>
      </w:r>
      <w:r>
        <w:rPr>
          <w:kern w:val="0"/>
          <w:sz w:val="24"/>
        </w:rPr>
        <w:t>未治愈者。</w:t>
      </w:r>
      <w:r>
        <w:rPr>
          <w:kern w:val="0"/>
          <w:sz w:val="24"/>
        </w:rPr>
        <w:br/>
      </w:r>
      <w:r>
        <w:rPr>
          <w:rFonts w:hint="eastAsia"/>
          <w:kern w:val="0"/>
          <w:sz w:val="24"/>
        </w:rPr>
        <w:t xml:space="preserve">    </w:t>
      </w:r>
      <w:r>
        <w:rPr>
          <w:kern w:val="0"/>
          <w:sz w:val="24"/>
        </w:rPr>
        <w:t>（五）慢性肝炎病人并且肝功能不正常者（肝炎病原携带者，但肝功能正常者除外）。肝炎病原携带者或乙型肝炎表面抗原检验阳性申请幼</w:t>
      </w:r>
      <w:r>
        <w:rPr>
          <w:kern w:val="0"/>
          <w:sz w:val="24"/>
        </w:rPr>
        <w:t>儿园教师资格者。</w:t>
      </w:r>
    </w:p>
    <w:p w:rsidR="00B150D1" w:rsidRDefault="00AD30D4">
      <w:pPr>
        <w:spacing w:line="420" w:lineRule="exact"/>
        <w:ind w:firstLineChars="200" w:firstLine="480"/>
        <w:rPr>
          <w:kern w:val="0"/>
          <w:sz w:val="24"/>
        </w:rPr>
      </w:pPr>
      <w:r>
        <w:rPr>
          <w:kern w:val="0"/>
          <w:sz w:val="24"/>
        </w:rPr>
        <w:t>（六）各种恶性肿瘤。各种结缔组织疾病（胶原疾病）。内分泌系统疾病（如糖尿病、尿崩症、肢端肥大症等）。血液病（单纯缺铁性贫血除外）。</w:t>
      </w:r>
    </w:p>
    <w:p w:rsidR="00B150D1" w:rsidRDefault="00AD30D4">
      <w:pPr>
        <w:spacing w:line="420" w:lineRule="exact"/>
        <w:ind w:leftChars="228" w:left="479"/>
        <w:rPr>
          <w:kern w:val="0"/>
          <w:sz w:val="24"/>
        </w:rPr>
      </w:pPr>
      <w:r>
        <w:rPr>
          <w:kern w:val="0"/>
          <w:sz w:val="24"/>
        </w:rPr>
        <w:t>（七）慢性肾炎。急性肾炎治愈不足两年。</w:t>
      </w:r>
      <w:r>
        <w:rPr>
          <w:kern w:val="0"/>
          <w:sz w:val="24"/>
        </w:rPr>
        <w:t> </w:t>
      </w:r>
      <w:r>
        <w:rPr>
          <w:kern w:val="0"/>
          <w:sz w:val="24"/>
        </w:rPr>
        <w:br/>
      </w:r>
      <w:r>
        <w:rPr>
          <w:kern w:val="0"/>
          <w:sz w:val="24"/>
        </w:rPr>
        <w:t>（八）有癫痫病史、精神病史、癔病史、夜游症。</w:t>
      </w:r>
      <w:r>
        <w:rPr>
          <w:kern w:val="0"/>
          <w:sz w:val="24"/>
        </w:rPr>
        <w:t> </w:t>
      </w:r>
      <w:r>
        <w:rPr>
          <w:kern w:val="0"/>
          <w:sz w:val="24"/>
        </w:rPr>
        <w:br/>
      </w:r>
      <w:r>
        <w:rPr>
          <w:kern w:val="0"/>
          <w:sz w:val="24"/>
        </w:rPr>
        <w:t>（九）肺切除超过一叶；肺不张一叶以上。</w:t>
      </w:r>
      <w:r>
        <w:rPr>
          <w:kern w:val="0"/>
          <w:sz w:val="24"/>
        </w:rPr>
        <w:br/>
      </w:r>
      <w:r>
        <w:rPr>
          <w:kern w:val="0"/>
          <w:sz w:val="24"/>
        </w:rPr>
        <w:t>（十）类风湿脊柱强直。慢性骨髓炎。</w:t>
      </w:r>
      <w:r>
        <w:rPr>
          <w:kern w:val="0"/>
          <w:sz w:val="24"/>
        </w:rPr>
        <w:br/>
      </w:r>
      <w:r>
        <w:rPr>
          <w:kern w:val="0"/>
          <w:sz w:val="24"/>
        </w:rPr>
        <w:t>（十一）青光眼；视网膜、视神经疾病（陈旧性或稳定性眼底病除外）。</w:t>
      </w:r>
      <w:r>
        <w:rPr>
          <w:kern w:val="0"/>
          <w:sz w:val="24"/>
        </w:rPr>
        <w:br/>
      </w:r>
      <w:r>
        <w:rPr>
          <w:kern w:val="0"/>
          <w:sz w:val="24"/>
        </w:rPr>
        <w:t>（十二）色盲、色弱</w:t>
      </w:r>
      <w:r>
        <w:rPr>
          <w:kern w:val="0"/>
          <w:sz w:val="24"/>
        </w:rPr>
        <w:t>,</w:t>
      </w:r>
      <w:r>
        <w:rPr>
          <w:kern w:val="0"/>
          <w:sz w:val="24"/>
        </w:rPr>
        <w:t>申请幼儿园教师和特殊教育教师资格者。</w:t>
      </w:r>
      <w:r>
        <w:rPr>
          <w:kern w:val="0"/>
          <w:sz w:val="24"/>
        </w:rPr>
        <w:t> </w:t>
      </w:r>
      <w:r>
        <w:rPr>
          <w:kern w:val="0"/>
          <w:sz w:val="24"/>
        </w:rPr>
        <w:br/>
      </w:r>
      <w:r>
        <w:rPr>
          <w:kern w:val="0"/>
          <w:sz w:val="24"/>
        </w:rPr>
        <w:t>（十三）两耳听力均在</w:t>
      </w:r>
      <w:r>
        <w:rPr>
          <w:kern w:val="0"/>
          <w:sz w:val="24"/>
        </w:rPr>
        <w:t>2</w:t>
      </w:r>
      <w:r>
        <w:rPr>
          <w:kern w:val="0"/>
          <w:sz w:val="24"/>
        </w:rPr>
        <w:t>米以内者，或佩带助听器听力均低于</w:t>
      </w:r>
      <w:r>
        <w:rPr>
          <w:kern w:val="0"/>
          <w:sz w:val="24"/>
        </w:rPr>
        <w:t>5</w:t>
      </w:r>
      <w:r>
        <w:rPr>
          <w:kern w:val="0"/>
          <w:sz w:val="24"/>
        </w:rPr>
        <w:t>米者。</w:t>
      </w:r>
      <w:r>
        <w:rPr>
          <w:kern w:val="0"/>
          <w:sz w:val="24"/>
        </w:rPr>
        <w:t> </w:t>
      </w:r>
      <w:r>
        <w:rPr>
          <w:kern w:val="0"/>
          <w:sz w:val="24"/>
        </w:rPr>
        <w:br/>
      </w:r>
      <w:r>
        <w:rPr>
          <w:kern w:val="0"/>
          <w:sz w:val="24"/>
        </w:rPr>
        <w:t>（十</w:t>
      </w:r>
      <w:r>
        <w:rPr>
          <w:kern w:val="0"/>
          <w:sz w:val="24"/>
        </w:rPr>
        <w:t>四）仪表仪容，有下列情况者均为体检不合格。</w:t>
      </w:r>
    </w:p>
    <w:p w:rsidR="00B150D1" w:rsidRDefault="00AD30D4">
      <w:pPr>
        <w:spacing w:line="420" w:lineRule="exact"/>
        <w:ind w:firstLineChars="200" w:firstLine="480"/>
        <w:rPr>
          <w:kern w:val="0"/>
          <w:sz w:val="24"/>
        </w:rPr>
      </w:pPr>
      <w:r>
        <w:rPr>
          <w:kern w:val="0"/>
          <w:sz w:val="24"/>
        </w:rPr>
        <w:t>1</w:t>
      </w:r>
      <w:r>
        <w:rPr>
          <w:kern w:val="0"/>
          <w:sz w:val="24"/>
        </w:rPr>
        <w:t>、四肢。两上肢或两下肢不能运动者；四肢残缺变形，行路步态跛行，上肢（特别是右手）残缺影响板书写字者。</w:t>
      </w:r>
      <w:r>
        <w:rPr>
          <w:kern w:val="0"/>
          <w:sz w:val="24"/>
        </w:rPr>
        <w:br/>
      </w:r>
      <w:r>
        <w:rPr>
          <w:rFonts w:hint="eastAsia"/>
          <w:kern w:val="0"/>
          <w:sz w:val="24"/>
        </w:rPr>
        <w:t xml:space="preserve">    </w:t>
      </w:r>
      <w:r>
        <w:rPr>
          <w:kern w:val="0"/>
          <w:sz w:val="24"/>
        </w:rPr>
        <w:t>2</w:t>
      </w:r>
      <w:r>
        <w:rPr>
          <w:kern w:val="0"/>
          <w:sz w:val="24"/>
        </w:rPr>
        <w:t>、体型。身体畸形，如明显鸡胸、驼背、脊柱侧弯外曲超过</w:t>
      </w:r>
      <w:r>
        <w:rPr>
          <w:kern w:val="0"/>
          <w:sz w:val="24"/>
        </w:rPr>
        <w:t>3</w:t>
      </w:r>
      <w:r>
        <w:rPr>
          <w:kern w:val="0"/>
          <w:sz w:val="24"/>
        </w:rPr>
        <w:t>厘米；身高</w:t>
      </w:r>
      <w:r>
        <w:rPr>
          <w:kern w:val="0"/>
          <w:sz w:val="24"/>
        </w:rPr>
        <w:lastRenderedPageBreak/>
        <w:t>影响教学者。</w:t>
      </w:r>
      <w:r>
        <w:rPr>
          <w:kern w:val="0"/>
          <w:sz w:val="24"/>
        </w:rPr>
        <w:br/>
      </w:r>
      <w:r>
        <w:rPr>
          <w:rFonts w:hint="eastAsia"/>
          <w:kern w:val="0"/>
          <w:sz w:val="24"/>
        </w:rPr>
        <w:t xml:space="preserve">    </w:t>
      </w:r>
      <w:r>
        <w:rPr>
          <w:kern w:val="0"/>
          <w:sz w:val="24"/>
        </w:rPr>
        <w:t>3</w:t>
      </w:r>
      <w:r>
        <w:rPr>
          <w:kern w:val="0"/>
          <w:sz w:val="24"/>
        </w:rPr>
        <w:t>、五官。五官不端正，面部有较大面积（</w:t>
      </w:r>
      <w:r>
        <w:rPr>
          <w:kern w:val="0"/>
          <w:sz w:val="24"/>
        </w:rPr>
        <w:t>3×3</w:t>
      </w:r>
      <w:r>
        <w:rPr>
          <w:kern w:val="0"/>
          <w:sz w:val="24"/>
        </w:rPr>
        <w:t>厘米）疤痕、血管瘤或白癜风、黑色素痣者。</w:t>
      </w:r>
      <w:r>
        <w:rPr>
          <w:kern w:val="0"/>
          <w:sz w:val="24"/>
        </w:rPr>
        <w:br/>
      </w:r>
      <w:r>
        <w:rPr>
          <w:rFonts w:hint="eastAsia"/>
          <w:kern w:val="0"/>
          <w:sz w:val="24"/>
        </w:rPr>
        <w:t xml:space="preserve">    </w:t>
      </w:r>
      <w:r>
        <w:rPr>
          <w:kern w:val="0"/>
          <w:sz w:val="24"/>
        </w:rPr>
        <w:t>（十五）口吃，吐字不清，声音严重嘶哑，声带病变，严重慢性咽喉炎或口腔有生理缺陷及耳鼻喉疾病之一而妨碍发音影响教学者。</w:t>
      </w:r>
    </w:p>
    <w:p w:rsidR="00B150D1" w:rsidRDefault="00B150D1"/>
    <w:sectPr w:rsidR="00B150D1" w:rsidSect="00B150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0D4" w:rsidRDefault="00AD30D4" w:rsidP="00D721EF">
      <w:r>
        <w:separator/>
      </w:r>
    </w:p>
  </w:endnote>
  <w:endnote w:type="continuationSeparator" w:id="0">
    <w:p w:rsidR="00AD30D4" w:rsidRDefault="00AD30D4" w:rsidP="00D7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0D4" w:rsidRDefault="00AD30D4" w:rsidP="00D721EF">
      <w:r>
        <w:separator/>
      </w:r>
    </w:p>
  </w:footnote>
  <w:footnote w:type="continuationSeparator" w:id="0">
    <w:p w:rsidR="00AD30D4" w:rsidRDefault="00AD30D4" w:rsidP="00D721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50D1"/>
    <w:rsid w:val="00AD30D4"/>
    <w:rsid w:val="00B150D1"/>
    <w:rsid w:val="00D721EF"/>
    <w:rsid w:val="07517C16"/>
    <w:rsid w:val="5A1F70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B150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72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721EF"/>
    <w:rPr>
      <w:kern w:val="2"/>
      <w:sz w:val="18"/>
      <w:szCs w:val="18"/>
    </w:rPr>
  </w:style>
  <w:style w:type="paragraph" w:styleId="a4">
    <w:name w:val="footer"/>
    <w:basedOn w:val="a"/>
    <w:link w:val="Char0"/>
    <w:rsid w:val="00D721EF"/>
    <w:pPr>
      <w:tabs>
        <w:tab w:val="center" w:pos="4153"/>
        <w:tab w:val="right" w:pos="8306"/>
      </w:tabs>
      <w:snapToGrid w:val="0"/>
      <w:jc w:val="left"/>
    </w:pPr>
    <w:rPr>
      <w:sz w:val="18"/>
      <w:szCs w:val="18"/>
    </w:rPr>
  </w:style>
  <w:style w:type="character" w:customStyle="1" w:styleId="Char0">
    <w:name w:val="页脚 Char"/>
    <w:basedOn w:val="a0"/>
    <w:link w:val="a4"/>
    <w:rsid w:val="00D721E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2021-03-17T08:08:00Z</dcterms:created>
  <dcterms:modified xsi:type="dcterms:W3CDTF">2021-03-23T06:24:00Z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